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70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73"/>
      </w:tblGrid>
      <w:tr>
        <w:trPr>
          <w:trHeight w:val="270" w:hRule="atLeast"/>
        </w:trPr>
        <w:tc>
          <w:tcPr>
            <w:tcW w:w="2373" w:type="dxa"/>
          </w:tcPr>
          <w:p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Atviro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konkurso </w:t>
            </w:r>
            <w:r>
              <w:rPr>
                <w:spacing w:val="-2"/>
                <w:sz w:val="24"/>
              </w:rPr>
              <w:t>sąlygų</w:t>
            </w:r>
          </w:p>
        </w:tc>
      </w:tr>
      <w:tr>
        <w:trPr>
          <w:trHeight w:val="270" w:hRule="atLeast"/>
        </w:trPr>
        <w:tc>
          <w:tcPr>
            <w:tcW w:w="237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</w:t>
            </w:r>
            <w:r>
              <w:rPr>
                <w:spacing w:val="-2"/>
                <w:sz w:val="24"/>
              </w:rPr>
              <w:t>priedas</w:t>
            </w:r>
          </w:p>
        </w:tc>
      </w:tr>
    </w:tbl>
    <w:p>
      <w:pPr>
        <w:pStyle w:val="BodyText"/>
        <w:spacing w:before="25"/>
      </w:pPr>
    </w:p>
    <w:p>
      <w:pPr>
        <w:pStyle w:val="BodyText"/>
        <w:spacing w:before="1"/>
        <w:ind w:right="115"/>
        <w:jc w:val="center"/>
      </w:pPr>
      <w:r>
        <w:rPr>
          <w:u w:val="single"/>
        </w:rPr>
        <w:t>UAB</w:t>
      </w:r>
      <w:r>
        <w:rPr>
          <w:spacing w:val="-2"/>
          <w:u w:val="single"/>
        </w:rPr>
        <w:t> InnoForce</w:t>
      </w:r>
    </w:p>
    <w:p>
      <w:pPr>
        <w:pStyle w:val="BodyText"/>
      </w:pPr>
    </w:p>
    <w:p>
      <w:pPr>
        <w:pStyle w:val="BodyText"/>
      </w:pPr>
    </w:p>
    <w:p>
      <w:pPr>
        <w:pStyle w:val="BodyText"/>
        <w:ind w:left="23"/>
        <w:jc w:val="both"/>
      </w:pPr>
      <w:r>
        <w:rPr/>
        <w:t>Muitinės</w:t>
      </w:r>
      <w:r>
        <w:rPr>
          <w:spacing w:val="-6"/>
        </w:rPr>
        <w:t> </w:t>
      </w:r>
      <w:r>
        <w:rPr/>
        <w:t>departamentui</w:t>
      </w:r>
      <w:r>
        <w:rPr>
          <w:spacing w:val="-1"/>
        </w:rPr>
        <w:t> </w:t>
      </w:r>
      <w:r>
        <w:rPr/>
        <w:t>prie</w:t>
      </w:r>
      <w:r>
        <w:rPr>
          <w:spacing w:val="-4"/>
        </w:rPr>
        <w:t> </w:t>
      </w:r>
      <w:r>
        <w:rPr/>
        <w:t>Lietuvos</w:t>
      </w:r>
      <w:r>
        <w:rPr>
          <w:spacing w:val="-3"/>
        </w:rPr>
        <w:t> </w:t>
      </w:r>
      <w:r>
        <w:rPr/>
        <w:t>Respublikos</w:t>
      </w:r>
      <w:r>
        <w:rPr>
          <w:spacing w:val="-4"/>
        </w:rPr>
        <w:t> </w:t>
      </w:r>
      <w:r>
        <w:rPr/>
        <w:t>finansų</w:t>
      </w:r>
      <w:r>
        <w:rPr>
          <w:spacing w:val="-2"/>
        </w:rPr>
        <w:t> ministerijos</w:t>
      </w:r>
    </w:p>
    <w:p>
      <w:pPr>
        <w:pStyle w:val="BodyText"/>
      </w:pPr>
    </w:p>
    <w:p>
      <w:pPr>
        <w:pStyle w:val="BodyText"/>
      </w:pPr>
    </w:p>
    <w:p>
      <w:pPr>
        <w:pStyle w:val="Title"/>
      </w:pPr>
      <w:r>
        <w:rPr/>
        <w:t>TEIKĖJO/</w:t>
      </w:r>
      <w:r>
        <w:rPr>
          <w:spacing w:val="-16"/>
        </w:rPr>
        <w:t> </w:t>
      </w:r>
      <w:r>
        <w:rPr/>
        <w:t>SUBTEIKĖJO</w:t>
      </w:r>
      <w:r>
        <w:rPr>
          <w:spacing w:val="32"/>
        </w:rPr>
        <w:t> </w:t>
      </w:r>
      <w:r>
        <w:rPr>
          <w:spacing w:val="-2"/>
        </w:rPr>
        <w:t>DEKLARACIJA</w:t>
      </w:r>
    </w:p>
    <w:p>
      <w:pPr>
        <w:pStyle w:val="BodyText"/>
        <w:rPr>
          <w:b/>
        </w:rPr>
      </w:pPr>
    </w:p>
    <w:p>
      <w:pPr>
        <w:pStyle w:val="BodyText"/>
        <w:ind w:right="116"/>
        <w:jc w:val="center"/>
      </w:pPr>
      <w:r>
        <w:rPr>
          <w:spacing w:val="-2"/>
        </w:rPr>
        <w:t>2025-06-</w:t>
      </w:r>
      <w:r>
        <w:rPr>
          <w:spacing w:val="-5"/>
        </w:rPr>
        <w:t>10</w:t>
      </w:r>
    </w:p>
    <w:p>
      <w:pPr>
        <w:pStyle w:val="BodyText"/>
      </w:pPr>
    </w:p>
    <w:p>
      <w:pPr>
        <w:pStyle w:val="BodyText"/>
        <w:ind w:left="23" w:right="137"/>
        <w:jc w:val="both"/>
      </w:pPr>
      <w:r>
        <w:rPr/>
        <w:t>Patvirtinu, kad mano atstovaujamo teikėjo/subteikėjo sudėtyje nėra Rusijos dalyvavimo, viršijančio</w:t>
      </w:r>
      <w:r>
        <w:rPr>
          <w:spacing w:val="-5"/>
        </w:rPr>
        <w:t> </w:t>
      </w:r>
      <w:r>
        <w:rPr/>
        <w:t>2014</w:t>
      </w:r>
      <w:r>
        <w:rPr>
          <w:spacing w:val="-5"/>
        </w:rPr>
        <w:t> </w:t>
      </w:r>
      <w:r>
        <w:rPr/>
        <w:t>m.</w:t>
      </w:r>
      <w:r>
        <w:rPr>
          <w:spacing w:val="-5"/>
        </w:rPr>
        <w:t> </w:t>
      </w:r>
      <w:r>
        <w:rPr/>
        <w:t>liepos</w:t>
      </w:r>
      <w:r>
        <w:rPr>
          <w:spacing w:val="-6"/>
        </w:rPr>
        <w:t> </w:t>
      </w:r>
      <w:r>
        <w:rPr/>
        <w:t>31</w:t>
      </w:r>
      <w:r>
        <w:rPr>
          <w:spacing w:val="-5"/>
        </w:rPr>
        <w:t> </w:t>
      </w:r>
      <w:r>
        <w:rPr/>
        <w:t>d.</w:t>
      </w:r>
      <w:r>
        <w:rPr>
          <w:spacing w:val="-10"/>
        </w:rPr>
        <w:t> </w:t>
      </w:r>
      <w:r>
        <w:rPr/>
        <w:t>Tarybos</w:t>
      </w:r>
      <w:r>
        <w:rPr>
          <w:spacing w:val="-6"/>
        </w:rPr>
        <w:t> </w:t>
      </w:r>
      <w:r>
        <w:rPr/>
        <w:t>reglamento</w:t>
      </w:r>
      <w:r>
        <w:rPr>
          <w:spacing w:val="-5"/>
        </w:rPr>
        <w:t> </w:t>
      </w:r>
      <w:r>
        <w:rPr/>
        <w:t>(ES)</w:t>
      </w:r>
      <w:r>
        <w:rPr>
          <w:spacing w:val="-5"/>
        </w:rPr>
        <w:t> </w:t>
      </w:r>
      <w:r>
        <w:rPr/>
        <w:t>Nr.</w:t>
      </w:r>
      <w:r>
        <w:rPr>
          <w:spacing w:val="-5"/>
        </w:rPr>
        <w:t> </w:t>
      </w:r>
      <w:r>
        <w:rPr/>
        <w:t>833/2014</w:t>
      </w:r>
      <w:r>
        <w:rPr>
          <w:spacing w:val="-5"/>
        </w:rPr>
        <w:t> </w:t>
      </w:r>
      <w:r>
        <w:rPr/>
        <w:t>dėl</w:t>
      </w:r>
      <w:r>
        <w:rPr>
          <w:spacing w:val="-8"/>
        </w:rPr>
        <w:t> </w:t>
      </w:r>
      <w:r>
        <w:rPr/>
        <w:t>ribojamųjų</w:t>
      </w:r>
      <w:r>
        <w:rPr>
          <w:spacing w:val="-5"/>
        </w:rPr>
        <w:t> </w:t>
      </w:r>
      <w:r>
        <w:rPr/>
        <w:t>priemonių atsižvelgiant</w:t>
      </w:r>
      <w:r>
        <w:rPr>
          <w:spacing w:val="-15"/>
        </w:rPr>
        <w:t> </w:t>
      </w:r>
      <w:r>
        <w:rPr/>
        <w:t>į</w:t>
      </w:r>
      <w:r>
        <w:rPr>
          <w:spacing w:val="-15"/>
        </w:rPr>
        <w:t> </w:t>
      </w:r>
      <w:r>
        <w:rPr/>
        <w:t>Rusijos</w:t>
      </w:r>
      <w:r>
        <w:rPr>
          <w:spacing w:val="-15"/>
        </w:rPr>
        <w:t> </w:t>
      </w:r>
      <w:r>
        <w:rPr/>
        <w:t>veiksmus,</w:t>
      </w:r>
      <w:r>
        <w:rPr>
          <w:spacing w:val="-15"/>
        </w:rPr>
        <w:t> </w:t>
      </w:r>
      <w:r>
        <w:rPr/>
        <w:t>kuriais</w:t>
      </w:r>
      <w:r>
        <w:rPr>
          <w:spacing w:val="-15"/>
        </w:rPr>
        <w:t> </w:t>
      </w:r>
      <w:r>
        <w:rPr/>
        <w:t>destabilizuojama</w:t>
      </w:r>
      <w:r>
        <w:rPr>
          <w:spacing w:val="-15"/>
        </w:rPr>
        <w:t> </w:t>
      </w:r>
      <w:r>
        <w:rPr/>
        <w:t>padėtis</w:t>
      </w:r>
      <w:r>
        <w:rPr>
          <w:spacing w:val="-15"/>
        </w:rPr>
        <w:t> </w:t>
      </w:r>
      <w:r>
        <w:rPr/>
        <w:t>Ukrainoje,</w:t>
      </w:r>
      <w:r>
        <w:rPr>
          <w:spacing w:val="-15"/>
        </w:rPr>
        <w:t> </w:t>
      </w:r>
      <w:r>
        <w:rPr/>
        <w:t>su</w:t>
      </w:r>
      <w:r>
        <w:rPr>
          <w:spacing w:val="-15"/>
        </w:rPr>
        <w:t> </w:t>
      </w:r>
      <w:r>
        <w:rPr/>
        <w:t>visais</w:t>
      </w:r>
      <w:r>
        <w:rPr>
          <w:spacing w:val="-15"/>
        </w:rPr>
        <w:t> </w:t>
      </w:r>
      <w:r>
        <w:rPr/>
        <w:t>pakeitimais, nustatytas ribas t.y.:</w:t>
      </w:r>
    </w:p>
    <w:p>
      <w:pPr>
        <w:pStyle w:val="ListParagraph"/>
        <w:numPr>
          <w:ilvl w:val="0"/>
          <w:numId w:val="1"/>
        </w:numPr>
        <w:tabs>
          <w:tab w:pos="377" w:val="left" w:leader="none"/>
        </w:tabs>
        <w:spacing w:line="240" w:lineRule="auto" w:before="152" w:after="0"/>
        <w:ind w:left="23" w:right="138" w:firstLine="0"/>
        <w:jc w:val="both"/>
        <w:rPr>
          <w:sz w:val="24"/>
        </w:rPr>
      </w:pPr>
      <w:r>
        <w:rPr>
          <w:sz w:val="24"/>
        </w:rPr>
        <w:t>mano atstovaujamas teikėjas/subteikėjas (ir nė vienas iš teikėjų grupės narių) nėra Rusijos pilietis arba Rusijoje įsisteigęs fizinis ar juridinis asmuo, subjektas ar įstaiga;</w:t>
      </w:r>
    </w:p>
    <w:p>
      <w:pPr>
        <w:pStyle w:val="ListParagraph"/>
        <w:numPr>
          <w:ilvl w:val="0"/>
          <w:numId w:val="1"/>
        </w:numPr>
        <w:tabs>
          <w:tab w:pos="381" w:val="left" w:leader="none"/>
        </w:tabs>
        <w:spacing w:line="240" w:lineRule="auto" w:before="149" w:after="0"/>
        <w:ind w:left="23" w:right="140" w:firstLine="0"/>
        <w:jc w:val="both"/>
        <w:rPr>
          <w:sz w:val="24"/>
        </w:rPr>
      </w:pPr>
      <w:r>
        <w:rPr>
          <w:sz w:val="24"/>
        </w:rPr>
        <w:t>mano atstovaujamas teikėjas/subteikėjas (ir nė vienas iš teikėjų grupės narių) nėra juridinis asmuo, subjektas ar įstaiga, kurio nuosavybės teisės tiesiogiai ar netiesiogiai daugiau kaip 50 % priklauso šios dalies a) punkte nurodytam subjektui;</w:t>
      </w:r>
    </w:p>
    <w:p>
      <w:pPr>
        <w:pStyle w:val="ListParagraph"/>
        <w:numPr>
          <w:ilvl w:val="0"/>
          <w:numId w:val="1"/>
        </w:numPr>
        <w:tabs>
          <w:tab w:pos="362" w:val="left" w:leader="none"/>
        </w:tabs>
        <w:spacing w:line="240" w:lineRule="auto" w:before="151" w:after="0"/>
        <w:ind w:left="23" w:right="145" w:firstLine="0"/>
        <w:jc w:val="both"/>
        <w:rPr>
          <w:sz w:val="24"/>
        </w:rPr>
      </w:pPr>
      <w:r>
        <w:rPr>
          <w:sz w:val="24"/>
        </w:rPr>
        <w:t>nei aš, nei mano atstovaujama bendrovė nėra fizinis ar juridinis asmuo, subjektas ar įstaiga, veikianti a) arba b) punkte nurodyto subjekto vardu ar jo nurodymu;</w:t>
      </w:r>
    </w:p>
    <w:p>
      <w:pPr>
        <w:pStyle w:val="ListParagraph"/>
        <w:numPr>
          <w:ilvl w:val="0"/>
          <w:numId w:val="1"/>
        </w:numPr>
        <w:tabs>
          <w:tab w:pos="403" w:val="left" w:leader="none"/>
        </w:tabs>
        <w:spacing w:line="240" w:lineRule="auto" w:before="149" w:after="0"/>
        <w:ind w:left="23" w:right="138" w:firstLine="0"/>
        <w:jc w:val="both"/>
        <w:rPr>
          <w:sz w:val="24"/>
        </w:rPr>
      </w:pPr>
      <w:r>
        <w:rPr>
          <w:sz w:val="24"/>
        </w:rPr>
        <w:t>a)-c) punktuose išvardyti subjektai nedalyvauja subteikėjais, teikėjais ar subjektais, kurių pajėgumais remiasi mano atstovaujamas teikėjas, tais atvejais kai jiems tenka daugiau kaip 10 % sutarties vertės.</w:t>
      </w:r>
    </w:p>
    <w:p>
      <w:pPr>
        <w:pStyle w:val="BodyText"/>
        <w:spacing w:before="151"/>
        <w:ind w:left="23" w:right="138"/>
        <w:jc w:val="both"/>
      </w:pPr>
      <w:r>
        <w:rPr/>
        <w:t>Patvirtinu,</w:t>
      </w:r>
      <w:r>
        <w:rPr>
          <w:spacing w:val="-3"/>
        </w:rPr>
        <w:t> </w:t>
      </w:r>
      <w:r>
        <w:rPr/>
        <w:t>kad</w:t>
      </w:r>
      <w:r>
        <w:rPr>
          <w:spacing w:val="-3"/>
        </w:rPr>
        <w:t> </w:t>
      </w:r>
      <w:r>
        <w:rPr/>
        <w:t>teikėjui/subteikėjui</w:t>
      </w:r>
      <w:r>
        <w:rPr>
          <w:spacing w:val="-3"/>
        </w:rPr>
        <w:t> </w:t>
      </w:r>
      <w:r>
        <w:rPr/>
        <w:t>kuriuos</w:t>
      </w:r>
      <w:r>
        <w:rPr>
          <w:spacing w:val="-4"/>
        </w:rPr>
        <w:t> </w:t>
      </w:r>
      <w:r>
        <w:rPr/>
        <w:t>esu</w:t>
      </w:r>
      <w:r>
        <w:rPr>
          <w:spacing w:val="-3"/>
        </w:rPr>
        <w:t> </w:t>
      </w:r>
      <w:r>
        <w:rPr/>
        <w:t>pasitelkęs</w:t>
      </w:r>
      <w:r>
        <w:rPr>
          <w:spacing w:val="-4"/>
        </w:rPr>
        <w:t> </w:t>
      </w:r>
      <w:r>
        <w:rPr/>
        <w:t>ar</w:t>
      </w:r>
      <w:r>
        <w:rPr>
          <w:spacing w:val="-3"/>
        </w:rPr>
        <w:t> </w:t>
      </w:r>
      <w:r>
        <w:rPr/>
        <w:t>pasitelksiu</w:t>
      </w:r>
      <w:r>
        <w:rPr>
          <w:spacing w:val="-3"/>
        </w:rPr>
        <w:t> </w:t>
      </w:r>
      <w:r>
        <w:rPr/>
        <w:t>ateityje,</w:t>
      </w:r>
      <w:r>
        <w:rPr>
          <w:spacing w:val="-1"/>
        </w:rPr>
        <w:t> </w:t>
      </w:r>
      <w:r>
        <w:rPr/>
        <w:t>ūkio</w:t>
      </w:r>
      <w:r>
        <w:rPr>
          <w:spacing w:val="-3"/>
        </w:rPr>
        <w:t> </w:t>
      </w:r>
      <w:r>
        <w:rPr/>
        <w:t>subjektams, kurių pajėgumais remiuosi ar (ir) remsiuosi, prekių (ir jų sudedamųjų dalių) gamintojams netaikomos Lietuvos Respublikoje įgyvendinamos tarptautinės sankcijos, kaip tai apibrėžta Lietuvos Respublikos tarptautinių sankcijų įstatyme.</w:t>
      </w:r>
    </w:p>
    <w:p>
      <w:pPr>
        <w:pStyle w:val="BodyText"/>
        <w:spacing w:before="149"/>
      </w:pPr>
    </w:p>
    <w:p>
      <w:pPr>
        <w:pStyle w:val="BodyText"/>
        <w:ind w:left="23" w:right="141"/>
        <w:jc w:val="both"/>
      </w:pPr>
      <w:r>
        <w:rPr/>
        <w:t>Deklaruojamoms aplinkybėms pasikeitus, įsipareigoju nedelsiant apie tai informuoti Pirkimo </w:t>
      </w:r>
      <w:r>
        <w:rPr>
          <w:spacing w:val="-2"/>
        </w:rPr>
        <w:t>vykdytoją.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33"/>
      </w:pPr>
    </w:p>
    <w:p>
      <w:pPr>
        <w:tabs>
          <w:tab w:pos="7629" w:val="left" w:leader="none"/>
        </w:tabs>
        <w:spacing w:before="0"/>
        <w:ind w:left="23" w:right="0" w:firstLine="0"/>
        <w:jc w:val="both"/>
        <w:rPr>
          <w:sz w:val="22"/>
        </w:rPr>
      </w:pPr>
      <w:r>
        <w:rPr>
          <w:sz w:val="22"/>
        </w:rPr>
        <w:t>Generalinis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direktorius</w:t>
      </w:r>
      <w:r>
        <w:rPr>
          <w:sz w:val="22"/>
        </w:rPr>
        <w:tab/>
        <w:t>Mindaugas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Mincė</w:t>
      </w:r>
    </w:p>
    <w:sectPr>
      <w:footerReference w:type="default" r:id="rId5"/>
      <w:type w:val="continuous"/>
      <w:pgSz w:w="11910" w:h="16840"/>
      <w:pgMar w:header="0" w:footer="626" w:top="1100" w:bottom="820" w:left="1417" w:right="992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BA"/>
    <w:family w:val="roman"/>
    <w:pitch w:val="variable"/>
  </w:font>
  <w:font w:name="Palatino Linotype">
    <w:altName w:val="Palatino Linotype"/>
    <w:charset w:val="BA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55584">
              <wp:simplePos x="0" y="0"/>
              <wp:positionH relativeFrom="page">
                <wp:posOffset>5579364</wp:posOffset>
              </wp:positionH>
              <wp:positionV relativeFrom="page">
                <wp:posOffset>10155021</wp:posOffset>
              </wp:positionV>
              <wp:extent cx="1461770" cy="4191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46177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28" w:lineRule="auto" w:before="26"/>
                            <w:ind w:left="20" w:right="18" w:firstLine="0"/>
                            <w:jc w:val="left"/>
                            <w:rPr>
                              <w:rFonts w:ascii="Palatino Linotype" w:hAnsi="Palatino Linotype"/>
                              <w:sz w:val="16"/>
                            </w:rPr>
                          </w:pP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Dokumentą</w:t>
                          </w:r>
                          <w:r>
                            <w:rPr>
                              <w:rFonts w:ascii="Palatino Linotype" w:hAnsi="Palatino Linotype"/>
                              <w:spacing w:val="-1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elektroniniu</w:t>
                          </w:r>
                          <w:r>
                            <w:rPr>
                              <w:rFonts w:ascii="Palatino Linotype" w:hAnsi="Palatino Linotype"/>
                              <w:spacing w:val="-1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parašu</w:t>
                          </w:r>
                          <w:r>
                            <w:rPr>
                              <w:rFonts w:ascii="Palatino Linotype" w:hAnsi="Palatino Linotype"/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pasirašė</w:t>
                          </w:r>
                          <w:r>
                            <w:rPr>
                              <w:rFonts w:ascii="Palatino Linotype" w:hAnsi="Palatino Linotype"/>
                              <w:spacing w:val="-1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MINDAUGAS,MINCĖ</w:t>
                          </w:r>
                          <w:r>
                            <w:rPr>
                              <w:rFonts w:ascii="Palatino Linotype" w:hAnsi="Palatino Linotype"/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Data: 2025-06-10 13:32:01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39.320007pt;margin-top:799.607971pt;width:115.1pt;height:33pt;mso-position-horizontal-relative:page;mso-position-vertical-relative:page;z-index:-15760896" type="#_x0000_t202" id="docshape1" filled="false" stroked="false">
              <v:textbox inset="0,0,0,0">
                <w:txbxContent>
                  <w:p>
                    <w:pPr>
                      <w:spacing w:line="228" w:lineRule="auto" w:before="26"/>
                      <w:ind w:left="20" w:right="18" w:firstLine="0"/>
                      <w:jc w:val="left"/>
                      <w:rPr>
                        <w:rFonts w:ascii="Palatino Linotype" w:hAnsi="Palatino Linotype"/>
                        <w:sz w:val="16"/>
                      </w:rPr>
                    </w:pPr>
                    <w:r>
                      <w:rPr>
                        <w:rFonts w:ascii="Palatino Linotype" w:hAnsi="Palatino Linotype"/>
                        <w:sz w:val="16"/>
                      </w:rPr>
                      <w:t>Dokumentą</w:t>
                    </w:r>
                    <w:r>
                      <w:rPr>
                        <w:rFonts w:ascii="Palatino Linotype" w:hAnsi="Palatino Linotype"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elektroniniu</w:t>
                    </w:r>
                    <w:r>
                      <w:rPr>
                        <w:rFonts w:ascii="Palatino Linotype" w:hAnsi="Palatino Linotype"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parašu</w:t>
                    </w:r>
                    <w:r>
                      <w:rPr>
                        <w:rFonts w:ascii="Palatino Linotype" w:hAnsi="Palatino Linotype"/>
                        <w:spacing w:val="40"/>
                        <w:sz w:val="16"/>
                      </w:rPr>
                      <w:t> 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pasirašė</w:t>
                    </w:r>
                    <w:r>
                      <w:rPr>
                        <w:rFonts w:ascii="Palatino Linotype" w:hAnsi="Palatino Linotype"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MINDAUGAS,MINCĖ</w:t>
                    </w:r>
                    <w:r>
                      <w:rPr>
                        <w:rFonts w:ascii="Palatino Linotype" w:hAnsi="Palatino Linotype"/>
                        <w:spacing w:val="40"/>
                        <w:sz w:val="16"/>
                      </w:rPr>
                      <w:t> 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Data: 2025-06-10 13:32:01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(%1)"/>
      <w:lvlJc w:val="left"/>
      <w:pPr>
        <w:ind w:left="23" w:hanging="35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lt-LT" w:eastAsia="en-US" w:bidi="ar-SA"/>
      </w:rPr>
    </w:lvl>
    <w:lvl w:ilvl="1">
      <w:start w:val="0"/>
      <w:numFmt w:val="bullet"/>
      <w:lvlText w:val="•"/>
      <w:lvlJc w:val="left"/>
      <w:pPr>
        <w:ind w:left="967" w:hanging="355"/>
      </w:pPr>
      <w:rPr>
        <w:rFonts w:hint="default"/>
        <w:lang w:val="lt-LT" w:eastAsia="en-US" w:bidi="ar-SA"/>
      </w:rPr>
    </w:lvl>
    <w:lvl w:ilvl="2">
      <w:start w:val="0"/>
      <w:numFmt w:val="bullet"/>
      <w:lvlText w:val="•"/>
      <w:lvlJc w:val="left"/>
      <w:pPr>
        <w:ind w:left="1915" w:hanging="355"/>
      </w:pPr>
      <w:rPr>
        <w:rFonts w:hint="default"/>
        <w:lang w:val="lt-LT" w:eastAsia="en-US" w:bidi="ar-SA"/>
      </w:rPr>
    </w:lvl>
    <w:lvl w:ilvl="3">
      <w:start w:val="0"/>
      <w:numFmt w:val="bullet"/>
      <w:lvlText w:val="•"/>
      <w:lvlJc w:val="left"/>
      <w:pPr>
        <w:ind w:left="2863" w:hanging="355"/>
      </w:pPr>
      <w:rPr>
        <w:rFonts w:hint="default"/>
        <w:lang w:val="lt-LT" w:eastAsia="en-US" w:bidi="ar-SA"/>
      </w:rPr>
    </w:lvl>
    <w:lvl w:ilvl="4">
      <w:start w:val="0"/>
      <w:numFmt w:val="bullet"/>
      <w:lvlText w:val="•"/>
      <w:lvlJc w:val="left"/>
      <w:pPr>
        <w:ind w:left="3810" w:hanging="355"/>
      </w:pPr>
      <w:rPr>
        <w:rFonts w:hint="default"/>
        <w:lang w:val="lt-LT" w:eastAsia="en-US" w:bidi="ar-SA"/>
      </w:rPr>
    </w:lvl>
    <w:lvl w:ilvl="5">
      <w:start w:val="0"/>
      <w:numFmt w:val="bullet"/>
      <w:lvlText w:val="•"/>
      <w:lvlJc w:val="left"/>
      <w:pPr>
        <w:ind w:left="4758" w:hanging="355"/>
      </w:pPr>
      <w:rPr>
        <w:rFonts w:hint="default"/>
        <w:lang w:val="lt-LT" w:eastAsia="en-US" w:bidi="ar-SA"/>
      </w:rPr>
    </w:lvl>
    <w:lvl w:ilvl="6">
      <w:start w:val="0"/>
      <w:numFmt w:val="bullet"/>
      <w:lvlText w:val="•"/>
      <w:lvlJc w:val="left"/>
      <w:pPr>
        <w:ind w:left="5706" w:hanging="355"/>
      </w:pPr>
      <w:rPr>
        <w:rFonts w:hint="default"/>
        <w:lang w:val="lt-LT" w:eastAsia="en-US" w:bidi="ar-SA"/>
      </w:rPr>
    </w:lvl>
    <w:lvl w:ilvl="7">
      <w:start w:val="0"/>
      <w:numFmt w:val="bullet"/>
      <w:lvlText w:val="•"/>
      <w:lvlJc w:val="left"/>
      <w:pPr>
        <w:ind w:left="6654" w:hanging="355"/>
      </w:pPr>
      <w:rPr>
        <w:rFonts w:hint="default"/>
        <w:lang w:val="lt-LT" w:eastAsia="en-US" w:bidi="ar-SA"/>
      </w:rPr>
    </w:lvl>
    <w:lvl w:ilvl="8">
      <w:start w:val="0"/>
      <w:numFmt w:val="bullet"/>
      <w:lvlText w:val="•"/>
      <w:lvlJc w:val="left"/>
      <w:pPr>
        <w:ind w:left="7601" w:hanging="355"/>
      </w:pPr>
      <w:rPr>
        <w:rFonts w:hint="default"/>
        <w:lang w:val="lt-L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lt-L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lt-LT" w:eastAsia="en-US" w:bidi="ar-SA"/>
    </w:rPr>
  </w:style>
  <w:style w:styleId="Title" w:type="paragraph">
    <w:name w:val="Title"/>
    <w:basedOn w:val="Normal"/>
    <w:uiPriority w:val="1"/>
    <w:qFormat/>
    <w:pPr>
      <w:ind w:left="1" w:right="115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lt-LT" w:eastAsia="en-US" w:bidi="ar-SA"/>
    </w:rPr>
  </w:style>
  <w:style w:styleId="ListParagraph" w:type="paragraph">
    <w:name w:val="List Paragraph"/>
    <w:basedOn w:val="Normal"/>
    <w:uiPriority w:val="1"/>
    <w:qFormat/>
    <w:pPr>
      <w:spacing w:before="149"/>
      <w:ind w:left="23" w:right="138"/>
      <w:jc w:val="both"/>
    </w:pPr>
    <w:rPr>
      <w:rFonts w:ascii="Times New Roman" w:hAnsi="Times New Roman" w:eastAsia="Times New Roman" w:cs="Times New Roman"/>
      <w:lang w:val="lt-LT" w:eastAsia="en-US" w:bidi="ar-SA"/>
    </w:rPr>
  </w:style>
  <w:style w:styleId="TableParagraph" w:type="paragraph">
    <w:name w:val="Table Paragraph"/>
    <w:basedOn w:val="Normal"/>
    <w:uiPriority w:val="1"/>
    <w:qFormat/>
    <w:pPr>
      <w:spacing w:line="251" w:lineRule="exact"/>
      <w:ind w:left="50"/>
    </w:pPr>
    <w:rPr>
      <w:rFonts w:ascii="Times New Roman" w:hAnsi="Times New Roman" w:eastAsia="Times New Roman" w:cs="Times New Roman"/>
      <w:lang w:val="lt-L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Paulauskaite</dc:creator>
  <dcterms:created xsi:type="dcterms:W3CDTF">2025-07-31T06:11:40Z</dcterms:created>
  <dcterms:modified xsi:type="dcterms:W3CDTF">2025-07-31T06:11:40Z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2025-07-31T00:00:00Z</vt:filetime>
  </property>
  <property fmtid="{D5CDD505-2E9C-101B-9397-08002B2CF9AE}" pid="5" name="Producer">
    <vt:lpwstr>Microsoft® Word for Microsoft 365; modified using iText® 5.5.13.1 ©2000-2019 iText Group NV (AGPL-version)</vt:lpwstr>
  </property>
</Properties>
</file>